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CCCA" w14:textId="7389D5BE" w:rsidR="00431467" w:rsidRDefault="00085B5A" w:rsidP="006C130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543518">
        <w:rPr>
          <w:rFonts w:ascii="Book Antiqua" w:hAnsi="Book Antiqua"/>
          <w:sz w:val="28"/>
          <w:szCs w:val="28"/>
        </w:rPr>
        <w:t xml:space="preserve">Implant </w:t>
      </w:r>
      <w:r w:rsidR="00185041">
        <w:rPr>
          <w:rFonts w:ascii="Book Antiqua" w:hAnsi="Book Antiqua"/>
          <w:sz w:val="28"/>
          <w:szCs w:val="28"/>
        </w:rPr>
        <w:t xml:space="preserve">Assessment and </w:t>
      </w:r>
      <w:r w:rsidRPr="00543518">
        <w:rPr>
          <w:rFonts w:ascii="Book Antiqua" w:hAnsi="Book Antiqua"/>
          <w:sz w:val="28"/>
          <w:szCs w:val="28"/>
        </w:rPr>
        <w:t>Maintenance Protocol</w:t>
      </w:r>
    </w:p>
    <w:p w14:paraId="1E7FD2DF" w14:textId="0B0BE6AA" w:rsidR="00DC3565" w:rsidRPr="00DC3565" w:rsidRDefault="00DC3565" w:rsidP="00DC3565">
      <w:pPr>
        <w:spacing w:after="0" w:line="240" w:lineRule="auto"/>
        <w:jc w:val="center"/>
        <w:rPr>
          <w:rFonts w:ascii="Book Antiqua" w:hAnsi="Book Antiqua"/>
          <w:u w:val="single"/>
        </w:rPr>
      </w:pPr>
      <w:r w:rsidRPr="00DC3565">
        <w:rPr>
          <w:rFonts w:ascii="Book Antiqua" w:hAnsi="Book Antiqua"/>
          <w:u w:val="single"/>
        </w:rPr>
        <w:t xml:space="preserve">Munib </w:t>
      </w:r>
      <w:proofErr w:type="spellStart"/>
      <w:r w:rsidRPr="00DC3565">
        <w:rPr>
          <w:rFonts w:ascii="Book Antiqua" w:hAnsi="Book Antiqua"/>
          <w:u w:val="single"/>
        </w:rPr>
        <w:t>Derhalli</w:t>
      </w:r>
      <w:proofErr w:type="spellEnd"/>
      <w:r w:rsidRPr="00DC3565">
        <w:rPr>
          <w:rFonts w:ascii="Book Antiqua" w:hAnsi="Book Antiqua"/>
          <w:u w:val="single"/>
        </w:rPr>
        <w:t xml:space="preserve"> DMD, MS, MBA, Cindy Campbell RDH, Annie Davidson RDH, MS</w:t>
      </w:r>
    </w:p>
    <w:p w14:paraId="483484CF" w14:textId="77777777" w:rsidR="006C1307" w:rsidRDefault="006C1307" w:rsidP="00DC3565">
      <w:pPr>
        <w:spacing w:line="240" w:lineRule="auto"/>
        <w:jc w:val="center"/>
        <w:rPr>
          <w:rFonts w:ascii="Book Antiqua" w:hAnsi="Book Antiqua"/>
        </w:rPr>
      </w:pPr>
    </w:p>
    <w:p w14:paraId="0CC1E36E" w14:textId="12F9B7AE" w:rsidR="00682688" w:rsidRDefault="00682688" w:rsidP="00DC3565">
      <w:pPr>
        <w:spacing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682688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Implant Assessment</w:t>
      </w:r>
      <w:r w:rsidR="00DC3565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and Chairside Maintenance Protocol</w:t>
      </w:r>
    </w:p>
    <w:p w14:paraId="6B432E35" w14:textId="77777777" w:rsidR="00DC3565" w:rsidRPr="00682688" w:rsidRDefault="00DC3565" w:rsidP="00085B5A">
      <w:pPr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703AF321" w14:textId="041DF420" w:rsidR="006C1307" w:rsidRPr="00543518" w:rsidRDefault="006C1307" w:rsidP="006C1307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Assess </w:t>
      </w:r>
      <w:r w:rsidR="00543518"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T</w:t>
      </w:r>
      <w:r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issue </w:t>
      </w:r>
      <w:r w:rsidR="00543518"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A</w:t>
      </w:r>
      <w:r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ppearance and </w:t>
      </w:r>
      <w:r w:rsidR="00543518"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C</w:t>
      </w:r>
      <w:r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olor:</w:t>
      </w:r>
    </w:p>
    <w:p w14:paraId="093CD0B0" w14:textId="4CB0ED0C" w:rsidR="006C1307" w:rsidRPr="00543518" w:rsidRDefault="006C1307" w:rsidP="0054351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43518">
        <w:rPr>
          <w:rFonts w:ascii="Book Antiqua" w:hAnsi="Book Antiqua"/>
          <w:sz w:val="24"/>
          <w:szCs w:val="24"/>
        </w:rPr>
        <w:t xml:space="preserve">Inspect the tissues surrounding the implant </w:t>
      </w:r>
      <w:r w:rsidR="00543518" w:rsidRPr="00543518">
        <w:rPr>
          <w:rFonts w:ascii="Book Antiqua" w:hAnsi="Book Antiqua"/>
          <w:sz w:val="24"/>
          <w:szCs w:val="24"/>
        </w:rPr>
        <w:t xml:space="preserve">(peri-mucosal seal) </w:t>
      </w:r>
      <w:r w:rsidRPr="00543518">
        <w:rPr>
          <w:rFonts w:ascii="Book Antiqua" w:hAnsi="Book Antiqua"/>
          <w:sz w:val="24"/>
          <w:szCs w:val="24"/>
        </w:rPr>
        <w:t>for signs of inflammation – Red, Cyanotic tissue</w:t>
      </w:r>
    </w:p>
    <w:p w14:paraId="4C7BE220" w14:textId="5D0AAD39" w:rsidR="006C1307" w:rsidRDefault="006C1307" w:rsidP="0054351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43518">
        <w:rPr>
          <w:rFonts w:ascii="Book Antiqua" w:hAnsi="Book Antiqua"/>
          <w:sz w:val="24"/>
          <w:szCs w:val="24"/>
        </w:rPr>
        <w:t>You are looking for consistent color and texture of the tissues</w:t>
      </w:r>
    </w:p>
    <w:p w14:paraId="5C1B8A78" w14:textId="300C8B1D" w:rsidR="00543518" w:rsidRPr="00543518" w:rsidRDefault="00543518" w:rsidP="0054351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Digitally inspect</w:t>
      </w:r>
      <w:r w:rsidR="00153529">
        <w:rPr>
          <w:rFonts w:ascii="Book Antiqua" w:hAnsi="Book Antiqua"/>
          <w:sz w:val="24"/>
          <w:szCs w:val="24"/>
        </w:rPr>
        <w:t xml:space="preserve"> (Palpate)</w:t>
      </w:r>
      <w:r>
        <w:rPr>
          <w:rFonts w:ascii="Book Antiqua" w:hAnsi="Book Antiqua"/>
          <w:sz w:val="24"/>
          <w:szCs w:val="24"/>
        </w:rPr>
        <w:t xml:space="preserve"> the </w:t>
      </w:r>
      <w:r w:rsidR="00153529">
        <w:rPr>
          <w:rFonts w:ascii="Book Antiqua" w:hAnsi="Book Antiqua"/>
          <w:sz w:val="24"/>
          <w:szCs w:val="24"/>
        </w:rPr>
        <w:t xml:space="preserve">tissues </w:t>
      </w:r>
      <w:r>
        <w:rPr>
          <w:rFonts w:ascii="Book Antiqua" w:hAnsi="Book Antiqua"/>
          <w:sz w:val="24"/>
          <w:szCs w:val="24"/>
        </w:rPr>
        <w:t xml:space="preserve">around the implant – “Milk’ the tissues for </w:t>
      </w:r>
      <w:r w:rsidR="001B5C2B">
        <w:rPr>
          <w:rFonts w:ascii="Book Antiqua" w:hAnsi="Book Antiqua"/>
          <w:sz w:val="24"/>
          <w:szCs w:val="24"/>
        </w:rPr>
        <w:t>BOP and/or S</w:t>
      </w:r>
      <w:r>
        <w:rPr>
          <w:rFonts w:ascii="Book Antiqua" w:hAnsi="Book Antiqua"/>
          <w:sz w:val="24"/>
          <w:szCs w:val="24"/>
        </w:rPr>
        <w:t>uppuration</w:t>
      </w:r>
    </w:p>
    <w:p w14:paraId="56744815" w14:textId="77777777" w:rsidR="00543518" w:rsidRDefault="00543518" w:rsidP="00543518">
      <w:pPr>
        <w:pStyle w:val="ListParagraph"/>
        <w:rPr>
          <w:rFonts w:ascii="Book Antiqua" w:hAnsi="Book Antiqua"/>
          <w:sz w:val="24"/>
          <w:szCs w:val="24"/>
        </w:rPr>
      </w:pPr>
    </w:p>
    <w:p w14:paraId="5F01298D" w14:textId="5FFA1BA2" w:rsidR="00543518" w:rsidRDefault="00543518" w:rsidP="00543518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 w:rsidRPr="0054351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Probing the Implant:</w:t>
      </w:r>
    </w:p>
    <w:p w14:paraId="1CFA9F2A" w14:textId="266CA0E3" w:rsidR="009D19B4" w:rsidRDefault="009D19B4" w:rsidP="0054351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Initial baseline probing should be completed at </w:t>
      </w:r>
      <w:r w:rsidRPr="009D19B4">
        <w:rPr>
          <w:rFonts w:ascii="Book Antiqua" w:hAnsi="Book Antiqua"/>
          <w:color w:val="FF0000"/>
          <w:sz w:val="24"/>
          <w:szCs w:val="24"/>
        </w:rPr>
        <w:t xml:space="preserve">6 mo. </w:t>
      </w:r>
      <w:r w:rsidR="00440A70">
        <w:rPr>
          <w:rFonts w:ascii="Book Antiqua" w:hAnsi="Book Antiqua"/>
          <w:sz w:val="24"/>
          <w:szCs w:val="24"/>
        </w:rPr>
        <w:t>post-implant</w:t>
      </w:r>
      <w:r>
        <w:rPr>
          <w:rFonts w:ascii="Book Antiqua" w:hAnsi="Book Antiqua"/>
          <w:sz w:val="24"/>
          <w:szCs w:val="24"/>
        </w:rPr>
        <w:t xml:space="preserve"> restoration</w:t>
      </w:r>
      <w:r w:rsidR="004A7D64">
        <w:rPr>
          <w:rFonts w:ascii="Book Antiqua" w:hAnsi="Book Antiqua"/>
          <w:sz w:val="24"/>
          <w:szCs w:val="24"/>
        </w:rPr>
        <w:t xml:space="preserve"> – once biologic width is stable and bone remodeling complete</w:t>
      </w:r>
    </w:p>
    <w:p w14:paraId="0A1355FF" w14:textId="48E89074" w:rsidR="00543518" w:rsidRDefault="00745D40" w:rsidP="0054351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745D40">
        <w:rPr>
          <w:rFonts w:ascii="Book Antiqua" w:hAnsi="Book Antiqua"/>
          <w:sz w:val="24"/>
          <w:szCs w:val="24"/>
        </w:rPr>
        <w:t>Use either a Titanium or Plastic probe around the implant</w:t>
      </w:r>
    </w:p>
    <w:p w14:paraId="47736876" w14:textId="31848EFC" w:rsidR="00745D40" w:rsidRDefault="00745D40" w:rsidP="0054351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Light pressure – no more than </w:t>
      </w:r>
      <w:r w:rsidRPr="009D19B4">
        <w:rPr>
          <w:rFonts w:ascii="Book Antiqua" w:hAnsi="Book Antiqua"/>
          <w:color w:val="FF0000"/>
          <w:sz w:val="24"/>
          <w:szCs w:val="24"/>
        </w:rPr>
        <w:t>25N</w:t>
      </w:r>
      <w:r>
        <w:rPr>
          <w:rFonts w:ascii="Book Antiqua" w:hAnsi="Book Antiqua"/>
          <w:sz w:val="24"/>
          <w:szCs w:val="24"/>
        </w:rPr>
        <w:t xml:space="preserve"> – record “0” Healthy or “1” Bleeding</w:t>
      </w:r>
    </w:p>
    <w:p w14:paraId="12952340" w14:textId="2350FDAA" w:rsidR="00745D40" w:rsidRDefault="00745D40" w:rsidP="0054351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Baseline measurements should be taken at </w:t>
      </w:r>
      <w:r w:rsidRPr="009D19B4">
        <w:rPr>
          <w:rFonts w:ascii="Book Antiqua" w:hAnsi="Book Antiqua"/>
          <w:color w:val="FF0000"/>
          <w:sz w:val="24"/>
          <w:szCs w:val="24"/>
        </w:rPr>
        <w:t xml:space="preserve">1 year </w:t>
      </w:r>
      <w:r>
        <w:rPr>
          <w:rFonts w:ascii="Book Antiqua" w:hAnsi="Book Antiqua"/>
          <w:sz w:val="24"/>
          <w:szCs w:val="24"/>
        </w:rPr>
        <w:t>post loading (restoration in place) and in function</w:t>
      </w:r>
    </w:p>
    <w:p w14:paraId="48C66096" w14:textId="5596A213" w:rsidR="00745D40" w:rsidRPr="009D19B4" w:rsidRDefault="00745D40" w:rsidP="00745D40">
      <w:pPr>
        <w:pStyle w:val="ListParagraph"/>
        <w:ind w:left="1440"/>
        <w:rPr>
          <w:rFonts w:ascii="Book Antiqua" w:hAnsi="Book Antiqua"/>
          <w:color w:val="000000" w:themeColor="text1"/>
          <w:sz w:val="24"/>
          <w:szCs w:val="24"/>
        </w:rPr>
      </w:pPr>
    </w:p>
    <w:p w14:paraId="09E6352F" w14:textId="1E3B88A7" w:rsidR="00745D40" w:rsidRDefault="00745D40" w:rsidP="00745D40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 w:rsidRPr="00745D40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Assess for supra/sub-gingival debris:</w:t>
      </w:r>
    </w:p>
    <w:p w14:paraId="288C2811" w14:textId="2623DBF8" w:rsidR="00745D40" w:rsidRPr="00F638AC" w:rsidRDefault="00745D40" w:rsidP="00745D40">
      <w:pPr>
        <w:pStyle w:val="ListParagraph"/>
        <w:numPr>
          <w:ilvl w:val="0"/>
          <w:numId w:val="5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Explore the margin area using a </w:t>
      </w:r>
      <w:r w:rsidRPr="009D19B4">
        <w:rPr>
          <w:rFonts w:ascii="Book Antiqua" w:hAnsi="Book Antiqua"/>
          <w:color w:val="FF0000"/>
          <w:sz w:val="24"/>
          <w:szCs w:val="24"/>
        </w:rPr>
        <w:t xml:space="preserve">‘crisscross floss’ </w:t>
      </w:r>
      <w:r>
        <w:rPr>
          <w:rFonts w:ascii="Book Antiqua" w:hAnsi="Book Antiqua"/>
          <w:sz w:val="24"/>
          <w:szCs w:val="24"/>
        </w:rPr>
        <w:t>technique to inspect for calculus and cement around the implant.  Floss that is frayed or the presents of blood indicate an issue with the implant that needs to be addressed</w:t>
      </w:r>
    </w:p>
    <w:p w14:paraId="093AD1FA" w14:textId="25F6FFCD" w:rsidR="00F638AC" w:rsidRPr="00F638AC" w:rsidRDefault="00F638AC" w:rsidP="00745D40">
      <w:pPr>
        <w:pStyle w:val="ListParagraph"/>
        <w:numPr>
          <w:ilvl w:val="0"/>
          <w:numId w:val="5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Inspect the contacts for passivity/light contact for areas of food impaction</w:t>
      </w:r>
    </w:p>
    <w:p w14:paraId="1C2AF1DF" w14:textId="77777777" w:rsidR="00F638AC" w:rsidRPr="00745D40" w:rsidRDefault="00F638AC" w:rsidP="00F638AC">
      <w:pPr>
        <w:pStyle w:val="ListParagraph"/>
        <w:ind w:left="1440"/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</w:p>
    <w:p w14:paraId="37255DB2" w14:textId="6A2A5E6C" w:rsidR="00745D40" w:rsidRDefault="00745D40" w:rsidP="00745D40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Assess </w:t>
      </w:r>
      <w:r w:rsidR="003308D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the implant restoration/prosthesis for mobility</w:t>
      </w:r>
      <w:r w:rsidR="00F638A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, </w:t>
      </w:r>
      <w:r w:rsidR="00440A70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pain,</w:t>
      </w:r>
      <w:r w:rsidR="00F638A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 and occlusion</w:t>
      </w:r>
      <w:r w:rsidR="003308D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:</w:t>
      </w:r>
    </w:p>
    <w:p w14:paraId="76CE832A" w14:textId="3F795364" w:rsidR="00503C02" w:rsidRDefault="00503C02" w:rsidP="003308D7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Correct occlusion is vital to maintain implant health</w:t>
      </w:r>
    </w:p>
    <w:p w14:paraId="11A4E639" w14:textId="69EAFBE6" w:rsidR="003308D7" w:rsidRDefault="00153529" w:rsidP="003308D7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153529">
        <w:rPr>
          <w:rFonts w:ascii="Book Antiqua" w:hAnsi="Book Antiqua"/>
          <w:sz w:val="24"/>
          <w:szCs w:val="24"/>
        </w:rPr>
        <w:t>Use 2 blunt ended instruments to assess mobility</w:t>
      </w:r>
      <w:r>
        <w:rPr>
          <w:rFonts w:ascii="Book Antiqua" w:hAnsi="Book Antiqua"/>
          <w:sz w:val="24"/>
          <w:szCs w:val="24"/>
        </w:rPr>
        <w:t xml:space="preserve"> (Brassler Ti probe)</w:t>
      </w:r>
    </w:p>
    <w:p w14:paraId="7090E6C9" w14:textId="1817F3A7" w:rsidR="00503C02" w:rsidRDefault="00503C02" w:rsidP="003308D7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Check occlusion to determine excessive bite load on implant – adjust if necessary</w:t>
      </w:r>
    </w:p>
    <w:p w14:paraId="6B468EBF" w14:textId="24BCDC6E" w:rsidR="00503C02" w:rsidRDefault="00503C02" w:rsidP="003308D7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evidence of traumatic occlusion consider an appliance to mitigate forces</w:t>
      </w:r>
    </w:p>
    <w:p w14:paraId="3504823F" w14:textId="77777777" w:rsidR="00503C02" w:rsidRDefault="00503C02" w:rsidP="00503C02">
      <w:pPr>
        <w:rPr>
          <w:rFonts w:ascii="Book Antiqua" w:hAnsi="Book Antiqua"/>
          <w:sz w:val="24"/>
          <w:szCs w:val="24"/>
        </w:rPr>
      </w:pPr>
    </w:p>
    <w:p w14:paraId="674084C4" w14:textId="6E6FCB8B" w:rsidR="00503C02" w:rsidRPr="00DD42C8" w:rsidRDefault="009D19B4" w:rsidP="00503C0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Assess </w:t>
      </w:r>
      <w:r w:rsidR="00DD42C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Implant </w:t>
      </w:r>
      <w:r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bone level</w:t>
      </w:r>
      <w:r w:rsidR="00DD42C8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:</w:t>
      </w:r>
    </w:p>
    <w:p w14:paraId="2AFD2056" w14:textId="35F01FF9" w:rsidR="00DD42C8" w:rsidRDefault="004A7D64" w:rsidP="00DD42C8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Baseline radiograph should be taken </w:t>
      </w:r>
      <w:r w:rsidR="00440A70" w:rsidRPr="00AB57CB">
        <w:rPr>
          <w:rFonts w:ascii="Book Antiqua" w:hAnsi="Book Antiqua"/>
          <w:color w:val="FF0000"/>
          <w:sz w:val="24"/>
          <w:szCs w:val="24"/>
        </w:rPr>
        <w:t>1-year</w:t>
      </w:r>
      <w:r w:rsidRPr="00AB57CB">
        <w:rPr>
          <w:rFonts w:ascii="Book Antiqua" w:hAnsi="Book Antiqua"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post-loading of the restoration/prosthesis</w:t>
      </w:r>
    </w:p>
    <w:p w14:paraId="36C2348A" w14:textId="223D4FCC" w:rsidR="00AB57CB" w:rsidRDefault="00AB57CB" w:rsidP="00DD42C8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Radiographs should be taken perpendicular to the implant body with clear view of the threads </w:t>
      </w:r>
    </w:p>
    <w:p w14:paraId="7EFF2819" w14:textId="17012E11" w:rsidR="00AB57CB" w:rsidRPr="00DD42C8" w:rsidRDefault="00AB57CB" w:rsidP="00DD42C8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Measure crestal bone levels around the implant annually</w:t>
      </w:r>
    </w:p>
    <w:p w14:paraId="5EA17928" w14:textId="77777777" w:rsidR="00085B5A" w:rsidRPr="00543518" w:rsidRDefault="00085B5A" w:rsidP="00085B5A">
      <w:pPr>
        <w:jc w:val="center"/>
        <w:rPr>
          <w:rFonts w:ascii="Book Antiqua" w:hAnsi="Book Antiqua"/>
        </w:rPr>
      </w:pPr>
    </w:p>
    <w:p w14:paraId="0A22E487" w14:textId="77777777" w:rsidR="00085B5A" w:rsidRDefault="00085B5A" w:rsidP="00085B5A">
      <w:pPr>
        <w:rPr>
          <w:rFonts w:ascii="Book Antiqua" w:hAnsi="Book Antiqua"/>
        </w:rPr>
      </w:pPr>
    </w:p>
    <w:p w14:paraId="20D2E7D1" w14:textId="3CCF8F98" w:rsidR="00682688" w:rsidRDefault="00DC3565" w:rsidP="00682688">
      <w:pPr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Chairside</w:t>
      </w:r>
      <w:r w:rsidR="00682688" w:rsidRPr="00682688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Maintenance Protocol</w:t>
      </w:r>
    </w:p>
    <w:p w14:paraId="2501FC63" w14:textId="77777777" w:rsidR="00682688" w:rsidRDefault="00682688" w:rsidP="00682688">
      <w:pPr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17BE374E" w14:textId="24C12AD9" w:rsidR="00682688" w:rsidRDefault="0085250D" w:rsidP="00682688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Inspect the peri-mucosal area for Biofilm:</w:t>
      </w:r>
    </w:p>
    <w:p w14:paraId="19608501" w14:textId="52F1A421" w:rsidR="0085250D" w:rsidRDefault="0085250D" w:rsidP="0085250D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 w:rsidRPr="0085250D">
        <w:rPr>
          <w:rFonts w:ascii="Book Antiqua" w:hAnsi="Book Antiqua"/>
          <w:sz w:val="28"/>
          <w:szCs w:val="28"/>
        </w:rPr>
        <w:t xml:space="preserve">Remove the biofilm using a </w:t>
      </w:r>
      <w:r>
        <w:rPr>
          <w:rFonts w:ascii="Book Antiqua" w:hAnsi="Book Antiqua"/>
          <w:sz w:val="28"/>
          <w:szCs w:val="28"/>
        </w:rPr>
        <w:t>sub-gingival air polisher with Glycine powder (4 sites per tooth and 5 minutes per site)</w:t>
      </w:r>
    </w:p>
    <w:p w14:paraId="5589DEB7" w14:textId="4EB9C0DE" w:rsidR="0085250D" w:rsidRDefault="0085250D" w:rsidP="0085250D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You can also polish the dentition to remove the biofilm layer</w:t>
      </w:r>
    </w:p>
    <w:p w14:paraId="70879497" w14:textId="77777777" w:rsidR="004D5C80" w:rsidRPr="004D5C80" w:rsidRDefault="004D5C80" w:rsidP="004D5C80">
      <w:pPr>
        <w:pStyle w:val="ListParagraph"/>
        <w:ind w:left="1440"/>
        <w:rPr>
          <w:rFonts w:ascii="Book Antiqua" w:hAnsi="Book Antiqua"/>
          <w:sz w:val="28"/>
          <w:szCs w:val="28"/>
        </w:rPr>
      </w:pPr>
    </w:p>
    <w:p w14:paraId="503F2633" w14:textId="5BA18C23" w:rsidR="0085250D" w:rsidRPr="00716CEB" w:rsidRDefault="00716CEB" w:rsidP="0085250D">
      <w:pPr>
        <w:pStyle w:val="ListParagraph"/>
        <w:numPr>
          <w:ilvl w:val="0"/>
          <w:numId w:val="7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Assess the area for supra/subgingival debris – Calculus/Cement:</w:t>
      </w:r>
    </w:p>
    <w:p w14:paraId="5D09ED5D" w14:textId="5288A723" w:rsidR="00716CEB" w:rsidRDefault="00427B66" w:rsidP="00716CEB">
      <w:pPr>
        <w:pStyle w:val="ListParagraph"/>
        <w:numPr>
          <w:ilvl w:val="0"/>
          <w:numId w:val="9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Removal of Calculus or cement should be completed carefully so as not to damage the implant surface</w:t>
      </w:r>
    </w:p>
    <w:p w14:paraId="6B987C36" w14:textId="269D6033" w:rsidR="00427B66" w:rsidRDefault="00427B66" w:rsidP="00716CEB">
      <w:pPr>
        <w:pStyle w:val="ListParagraph"/>
        <w:numPr>
          <w:ilvl w:val="0"/>
          <w:numId w:val="9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Use a Titanium scaler (28-30 RWH – </w:t>
      </w:r>
      <w:r w:rsidR="00983786">
        <w:rPr>
          <w:rFonts w:ascii="Book Antiqua" w:hAnsi="Book Antiqua"/>
          <w:sz w:val="28"/>
          <w:szCs w:val="28"/>
        </w:rPr>
        <w:t>Rockwell H</w:t>
      </w:r>
      <w:r>
        <w:rPr>
          <w:rFonts w:ascii="Book Antiqua" w:hAnsi="Book Antiqua"/>
          <w:sz w:val="28"/>
          <w:szCs w:val="28"/>
        </w:rPr>
        <w:t xml:space="preserve">ardness </w:t>
      </w:r>
      <w:r w:rsidR="00983786">
        <w:rPr>
          <w:rFonts w:ascii="Book Antiqua" w:hAnsi="Book Antiqua"/>
          <w:sz w:val="28"/>
          <w:szCs w:val="28"/>
        </w:rPr>
        <w:t>Scale</w:t>
      </w:r>
      <w:r>
        <w:rPr>
          <w:rFonts w:ascii="Book Antiqua" w:hAnsi="Book Antiqua"/>
          <w:sz w:val="28"/>
          <w:szCs w:val="28"/>
        </w:rPr>
        <w:t>)</w:t>
      </w:r>
      <w:r w:rsidR="00983786">
        <w:rPr>
          <w:rFonts w:ascii="Book Antiqua" w:hAnsi="Book Antiqua"/>
          <w:sz w:val="28"/>
          <w:szCs w:val="28"/>
        </w:rPr>
        <w:t xml:space="preserve"> </w:t>
      </w:r>
    </w:p>
    <w:p w14:paraId="41565202" w14:textId="29BAEC13" w:rsidR="000A0477" w:rsidRDefault="006B561C" w:rsidP="000A0477">
      <w:pPr>
        <w:pStyle w:val="ListParagraph"/>
        <w:numPr>
          <w:ilvl w:val="0"/>
          <w:numId w:val="9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Ultra-sonic tip inserts (PEEK) or PEI ultrasonic tips should be used with caution and never used on the implant body – only the abutment/restoration interface within the peri-mucosal seal</w:t>
      </w:r>
    </w:p>
    <w:p w14:paraId="1CA15CB0" w14:textId="77777777" w:rsidR="00754B0B" w:rsidRPr="00754B0B" w:rsidRDefault="00754B0B" w:rsidP="00754B0B">
      <w:pPr>
        <w:pStyle w:val="ListParagraph"/>
        <w:ind w:left="1440"/>
        <w:rPr>
          <w:rFonts w:ascii="Book Antiqua" w:hAnsi="Book Antiqua"/>
          <w:sz w:val="28"/>
          <w:szCs w:val="28"/>
        </w:rPr>
      </w:pPr>
    </w:p>
    <w:p w14:paraId="6C614793" w14:textId="06F820CC" w:rsidR="000A0477" w:rsidRDefault="005D509D" w:rsidP="005D509D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5D509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Irrigate the peri-mucosal </w:t>
      </w:r>
      <w:r w:rsidR="00823C2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area </w:t>
      </w:r>
      <w:r w:rsidRPr="005D509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around the implant:</w:t>
      </w:r>
    </w:p>
    <w:p w14:paraId="6883CDE5" w14:textId="02FFCED8" w:rsidR="00BB2F69" w:rsidRDefault="00BB2F69" w:rsidP="00BB2F69">
      <w:pPr>
        <w:pStyle w:val="ListParagraph"/>
        <w:numPr>
          <w:ilvl w:val="0"/>
          <w:numId w:val="11"/>
        </w:numPr>
        <w:rPr>
          <w:rFonts w:ascii="Book Antiqua" w:hAnsi="Book Antiqua"/>
          <w:sz w:val="28"/>
          <w:szCs w:val="28"/>
        </w:rPr>
      </w:pPr>
      <w:r w:rsidRPr="00BB2F69">
        <w:rPr>
          <w:rFonts w:ascii="Book Antiqua" w:hAnsi="Book Antiqua"/>
          <w:sz w:val="28"/>
          <w:szCs w:val="28"/>
        </w:rPr>
        <w:t>Use CloSyS</w:t>
      </w:r>
      <w:r w:rsidR="0022396D">
        <w:rPr>
          <w:rFonts w:ascii="Book Antiqua" w:hAnsi="Book Antiqua"/>
          <w:sz w:val="28"/>
          <w:szCs w:val="28"/>
        </w:rPr>
        <w:t>®</w:t>
      </w:r>
      <w:r w:rsidRPr="00BB2F69">
        <w:rPr>
          <w:rFonts w:ascii="Book Antiqua" w:hAnsi="Book Antiqua"/>
          <w:sz w:val="28"/>
          <w:szCs w:val="28"/>
        </w:rPr>
        <w:t xml:space="preserve"> to </w:t>
      </w:r>
      <w:r>
        <w:rPr>
          <w:rFonts w:ascii="Book Antiqua" w:hAnsi="Book Antiqua"/>
          <w:sz w:val="28"/>
          <w:szCs w:val="28"/>
        </w:rPr>
        <w:t>irrigate out any debris around the implant following debridement</w:t>
      </w:r>
    </w:p>
    <w:p w14:paraId="48852F32" w14:textId="5AB58431" w:rsidR="00BB2F69" w:rsidRDefault="00BB2F69" w:rsidP="00BB2F69">
      <w:pPr>
        <w:pStyle w:val="ListParagraph"/>
        <w:numPr>
          <w:ilvl w:val="0"/>
          <w:numId w:val="1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An ultrasonic or PEI can be used (with proper inserts) to Lavage the area surrounding the implant</w:t>
      </w:r>
    </w:p>
    <w:p w14:paraId="28DC2931" w14:textId="77777777" w:rsidR="00501EBC" w:rsidRPr="00501EBC" w:rsidRDefault="00501EBC" w:rsidP="00501EBC">
      <w:pPr>
        <w:pStyle w:val="ListParagraph"/>
        <w:ind w:left="1440"/>
        <w:rPr>
          <w:rFonts w:ascii="Book Antiqua" w:hAnsi="Book Antiqua"/>
          <w:sz w:val="28"/>
          <w:szCs w:val="28"/>
        </w:rPr>
      </w:pPr>
    </w:p>
    <w:p w14:paraId="5BB3A5AC" w14:textId="77777777" w:rsidR="00501EBC" w:rsidRPr="00501EBC" w:rsidRDefault="00501EBC" w:rsidP="00BB2F69">
      <w:pPr>
        <w:pStyle w:val="ListParagraph"/>
        <w:numPr>
          <w:ilvl w:val="0"/>
          <w:numId w:val="7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Polish the implant restoration/prosthesis:</w:t>
      </w:r>
    </w:p>
    <w:p w14:paraId="6002ABA4" w14:textId="16677918" w:rsidR="00823C22" w:rsidRDefault="00501EBC" w:rsidP="00823C22">
      <w:pPr>
        <w:pStyle w:val="ListParagraph"/>
        <w:numPr>
          <w:ilvl w:val="0"/>
          <w:numId w:val="12"/>
        </w:numPr>
        <w:rPr>
          <w:rFonts w:ascii="Book Antiqua" w:hAnsi="Book Antiqua"/>
          <w:sz w:val="28"/>
          <w:szCs w:val="28"/>
        </w:rPr>
      </w:pPr>
      <w:r w:rsidRPr="00501EBC">
        <w:rPr>
          <w:rFonts w:ascii="Book Antiqua" w:hAnsi="Book Antiqua"/>
          <w:sz w:val="28"/>
          <w:szCs w:val="28"/>
        </w:rPr>
        <w:t>Use a non-abrasive prophy paste</w:t>
      </w:r>
      <w:r>
        <w:rPr>
          <w:rFonts w:ascii="Book Antiqua" w:hAnsi="Book Antiqua"/>
          <w:sz w:val="28"/>
          <w:szCs w:val="28"/>
        </w:rPr>
        <w:t xml:space="preserve"> to remove residual stain</w:t>
      </w:r>
    </w:p>
    <w:p w14:paraId="1CDB1859" w14:textId="77777777" w:rsidR="00067D12" w:rsidRPr="00067D12" w:rsidRDefault="00067D12" w:rsidP="00067D12">
      <w:pPr>
        <w:pStyle w:val="ListParagraph"/>
        <w:ind w:left="1510"/>
        <w:rPr>
          <w:rFonts w:ascii="Book Antiqua" w:hAnsi="Book Antiqua"/>
          <w:sz w:val="28"/>
          <w:szCs w:val="28"/>
        </w:rPr>
      </w:pPr>
    </w:p>
    <w:p w14:paraId="79D22FFF" w14:textId="6CA7528E" w:rsidR="00823C22" w:rsidRDefault="00823C22" w:rsidP="00823C22">
      <w:pPr>
        <w:pStyle w:val="ListParagraph"/>
        <w:numPr>
          <w:ilvl w:val="0"/>
          <w:numId w:val="7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Apply antimicrobial Varnish:</w:t>
      </w:r>
    </w:p>
    <w:p w14:paraId="6BB4CA4C" w14:textId="5B666A10" w:rsidR="00067D12" w:rsidRDefault="00067D12" w:rsidP="00067D12">
      <w:pPr>
        <w:pStyle w:val="ListParagraph"/>
        <w:numPr>
          <w:ilvl w:val="0"/>
          <w:numId w:val="12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Cervitec</w:t>
      </w:r>
      <w:proofErr w:type="spellEnd"/>
      <w:r w:rsidR="0022396D">
        <w:rPr>
          <w:rFonts w:ascii="Book Antiqua" w:hAnsi="Book Antiqua"/>
          <w:sz w:val="28"/>
          <w:szCs w:val="28"/>
        </w:rPr>
        <w:t>®</w:t>
      </w:r>
      <w:r>
        <w:rPr>
          <w:rFonts w:ascii="Book Antiqua" w:hAnsi="Book Antiqua"/>
          <w:sz w:val="28"/>
          <w:szCs w:val="28"/>
        </w:rPr>
        <w:t xml:space="preserve"> Plus – Chlorhexidine Diacetate (Chlorhexidine </w:t>
      </w:r>
      <w:r w:rsidR="0022396D">
        <w:rPr>
          <w:rFonts w:ascii="Book Antiqua" w:hAnsi="Book Antiqua"/>
          <w:sz w:val="28"/>
          <w:szCs w:val="28"/>
        </w:rPr>
        <w:t>Gluconate</w:t>
      </w:r>
      <w:r>
        <w:rPr>
          <w:rFonts w:ascii="Book Antiqua" w:hAnsi="Book Antiqua"/>
          <w:sz w:val="28"/>
          <w:szCs w:val="28"/>
        </w:rPr>
        <w:t xml:space="preserve"> should be avoided – Peridex) to the cervical area of the implant</w:t>
      </w:r>
    </w:p>
    <w:p w14:paraId="24BC9170" w14:textId="769B58B2" w:rsidR="00067D12" w:rsidRDefault="00067D12" w:rsidP="00067D12">
      <w:pPr>
        <w:pStyle w:val="ListParagraph"/>
        <w:numPr>
          <w:ilvl w:val="0"/>
          <w:numId w:val="1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Antimicrobials will not increase the attachment level but will decrease the inflammation</w:t>
      </w:r>
    </w:p>
    <w:p w14:paraId="5576FA27" w14:textId="3A0B3619" w:rsidR="00067D12" w:rsidRPr="00823C22" w:rsidRDefault="00067D12" w:rsidP="00067D12">
      <w:pPr>
        <w:pStyle w:val="ListParagraph"/>
        <w:ind w:left="1510"/>
        <w:rPr>
          <w:rFonts w:ascii="Book Antiqua" w:hAnsi="Book Antiqua"/>
          <w:sz w:val="28"/>
          <w:szCs w:val="28"/>
        </w:rPr>
      </w:pPr>
    </w:p>
    <w:p w14:paraId="27C5B713" w14:textId="5F2C949A" w:rsidR="00501EBC" w:rsidRPr="00501EBC" w:rsidRDefault="00501EBC" w:rsidP="00823C22">
      <w:pPr>
        <w:pStyle w:val="ListParagraph"/>
        <w:ind w:left="1510"/>
        <w:rPr>
          <w:rFonts w:ascii="Book Antiqua" w:hAnsi="Book Antiqua"/>
          <w:sz w:val="28"/>
          <w:szCs w:val="28"/>
        </w:rPr>
      </w:pPr>
    </w:p>
    <w:p w14:paraId="371E8E43" w14:textId="77777777" w:rsidR="00BB2F69" w:rsidRPr="00BB2F69" w:rsidRDefault="00BB2F69" w:rsidP="00BB2F69">
      <w:pPr>
        <w:pStyle w:val="ListParagraph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sectPr w:rsidR="00BB2F69" w:rsidRPr="00BB2F69" w:rsidSect="00AB57C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403"/>
    <w:multiLevelType w:val="hybridMultilevel"/>
    <w:tmpl w:val="0D8AA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2951BB"/>
    <w:multiLevelType w:val="hybridMultilevel"/>
    <w:tmpl w:val="E72C2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28"/>
    <w:multiLevelType w:val="hybridMultilevel"/>
    <w:tmpl w:val="204EA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AF28C9"/>
    <w:multiLevelType w:val="hybridMultilevel"/>
    <w:tmpl w:val="C2C23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35E48"/>
    <w:multiLevelType w:val="hybridMultilevel"/>
    <w:tmpl w:val="8236B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B4BEE"/>
    <w:multiLevelType w:val="hybridMultilevel"/>
    <w:tmpl w:val="C50858E4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5A8B3DBB"/>
    <w:multiLevelType w:val="hybridMultilevel"/>
    <w:tmpl w:val="3774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B40A2"/>
    <w:multiLevelType w:val="hybridMultilevel"/>
    <w:tmpl w:val="99EA1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868B9"/>
    <w:multiLevelType w:val="hybridMultilevel"/>
    <w:tmpl w:val="993E4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D5A66"/>
    <w:multiLevelType w:val="hybridMultilevel"/>
    <w:tmpl w:val="DB3E5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3041C"/>
    <w:multiLevelType w:val="hybridMultilevel"/>
    <w:tmpl w:val="AB742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50349A"/>
    <w:multiLevelType w:val="hybridMultilevel"/>
    <w:tmpl w:val="5A4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3046">
    <w:abstractNumId w:val="1"/>
  </w:num>
  <w:num w:numId="2" w16cid:durableId="1477842039">
    <w:abstractNumId w:val="4"/>
  </w:num>
  <w:num w:numId="3" w16cid:durableId="136804545">
    <w:abstractNumId w:val="7"/>
  </w:num>
  <w:num w:numId="4" w16cid:durableId="1772163840">
    <w:abstractNumId w:val="0"/>
  </w:num>
  <w:num w:numId="5" w16cid:durableId="1041591035">
    <w:abstractNumId w:val="6"/>
  </w:num>
  <w:num w:numId="6" w16cid:durableId="1295795609">
    <w:abstractNumId w:val="2"/>
  </w:num>
  <w:num w:numId="7" w16cid:durableId="1366906880">
    <w:abstractNumId w:val="9"/>
  </w:num>
  <w:num w:numId="8" w16cid:durableId="321273464">
    <w:abstractNumId w:val="3"/>
  </w:num>
  <w:num w:numId="9" w16cid:durableId="1539124219">
    <w:abstractNumId w:val="8"/>
  </w:num>
  <w:num w:numId="10" w16cid:durableId="936057386">
    <w:abstractNumId w:val="11"/>
  </w:num>
  <w:num w:numId="11" w16cid:durableId="328869976">
    <w:abstractNumId w:val="10"/>
  </w:num>
  <w:num w:numId="12" w16cid:durableId="319578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A"/>
    <w:rsid w:val="00067D12"/>
    <w:rsid w:val="00085B5A"/>
    <w:rsid w:val="000A0477"/>
    <w:rsid w:val="00153529"/>
    <w:rsid w:val="00185041"/>
    <w:rsid w:val="001B5C2B"/>
    <w:rsid w:val="00212A76"/>
    <w:rsid w:val="0022396D"/>
    <w:rsid w:val="003269DD"/>
    <w:rsid w:val="003308D7"/>
    <w:rsid w:val="00427B66"/>
    <w:rsid w:val="00431467"/>
    <w:rsid w:val="00440A70"/>
    <w:rsid w:val="004A7D64"/>
    <w:rsid w:val="004D5C80"/>
    <w:rsid w:val="00501EBC"/>
    <w:rsid w:val="00503C02"/>
    <w:rsid w:val="00543518"/>
    <w:rsid w:val="005D509D"/>
    <w:rsid w:val="006779C4"/>
    <w:rsid w:val="00682688"/>
    <w:rsid w:val="006B561C"/>
    <w:rsid w:val="006C1307"/>
    <w:rsid w:val="00716CEB"/>
    <w:rsid w:val="00745D40"/>
    <w:rsid w:val="00754B0B"/>
    <w:rsid w:val="00823C22"/>
    <w:rsid w:val="0085250D"/>
    <w:rsid w:val="00983786"/>
    <w:rsid w:val="009D19B4"/>
    <w:rsid w:val="00AB57CB"/>
    <w:rsid w:val="00BB2F69"/>
    <w:rsid w:val="00CE3796"/>
    <w:rsid w:val="00D41854"/>
    <w:rsid w:val="00DC3565"/>
    <w:rsid w:val="00DD42C8"/>
    <w:rsid w:val="00F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743F"/>
  <w15:chartTrackingRefBased/>
  <w15:docId w15:val="{061C4A84-7B36-4A3B-B91D-7A9AA7B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hygiene@periodontalconcepts.net</dc:creator>
  <cp:keywords/>
  <dc:description/>
  <cp:lastModifiedBy>Stephan Laenen</cp:lastModifiedBy>
  <cp:revision>2</cp:revision>
  <cp:lastPrinted>2024-06-03T17:59:00Z</cp:lastPrinted>
  <dcterms:created xsi:type="dcterms:W3CDTF">2026-06-17T21:05:00Z</dcterms:created>
  <dcterms:modified xsi:type="dcterms:W3CDTF">2026-06-17T21:05:00Z</dcterms:modified>
</cp:coreProperties>
</file>